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both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附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件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：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1</w:t>
      </w:r>
    </w:p>
    <w:bookmarkEnd w:id="0"/>
    <w:p>
      <w:pPr>
        <w:spacing w:line="440" w:lineRule="exact"/>
        <w:jc w:val="center"/>
        <w:rPr>
          <w:rFonts w:cs="黑体" w:asciiTheme="majorEastAsia" w:hAnsiTheme="majorEastAsia" w:eastAsiaTheme="majorEastAsia"/>
          <w:b/>
          <w:color w:val="000000"/>
          <w:spacing w:val="-20"/>
          <w:sz w:val="36"/>
          <w:szCs w:val="36"/>
        </w:rPr>
      </w:pPr>
      <w:r>
        <w:rPr>
          <w:rFonts w:hint="eastAsia" w:cs="黑体" w:asciiTheme="majorEastAsia" w:hAnsiTheme="majorEastAsia" w:eastAsiaTheme="majorEastAsia"/>
          <w:b/>
          <w:color w:val="000000"/>
          <w:spacing w:val="-20"/>
          <w:sz w:val="36"/>
          <w:szCs w:val="36"/>
        </w:rPr>
        <w:t>2019年度共青团“青年大学习”行动先进单位名单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共青团吉林农业大学人文学院委员会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共青团吉林农业大学生命科学学院委员会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共青团吉林农业大学工程技术学院委员会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共青团吉林农业大学动物科学技术学院委员会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共青团吉林农业大学中药材学院委员会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共青团吉林农业大学经济管理学院委员会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共青团吉林农业大学食品科学与工程学院委员会</w:t>
      </w: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FC50EF"/>
    <w:rsid w:val="6A28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2020-05-06T07:34:48Z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